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26" w:type="dxa"/>
            <w:tcBorders>
              <w:tl2br w:val="nil"/>
              <w:tr2bl w:val="nil"/>
            </w:tcBorders>
          </w:tcPr>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SZJJ05-1</w:t>
            </w:r>
            <w:r>
              <w:rPr>
                <w:rFonts w:hint="eastAsia" w:ascii="宋体" w:hAnsi="宋体"/>
                <w:color w:val="000000"/>
                <w:sz w:val="18"/>
                <w:szCs w:val="13"/>
                <w:lang w:val="zh-CN"/>
              </w:rPr>
              <w:t>表</w:t>
            </w:r>
          </w:p>
          <w:p>
            <w:pPr>
              <w:tabs>
                <w:tab w:val="left" w:pos="420"/>
              </w:tabs>
              <w:spacing w:line="0" w:lineRule="atLeast"/>
              <w:ind w:left="0" w:leftChars="0" w:right="-216" w:rightChars="-103" w:firstLine="5040" w:firstLineChars="2800"/>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en-US" w:eastAsia="zh-CN"/>
              </w:rPr>
              <w:t>厦门市工业和信息化局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p>
          <w:p>
            <w:pPr>
              <w:ind w:left="0" w:leftChars="0" w:firstLine="5040" w:firstLineChars="2800"/>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有效期至：2023年11月</w:t>
            </w:r>
          </w:p>
        </w:tc>
      </w:tr>
    </w:tbl>
    <w:p>
      <w:pPr>
        <w:jc w:val="center"/>
        <w:rPr>
          <w:rFonts w:asciiTheme="minorEastAsia" w:hAnsiTheme="minorEastAsia" w:eastAsiaTheme="minorEastAsia"/>
          <w:b/>
          <w:sz w:val="28"/>
          <w:szCs w:val="28"/>
        </w:rPr>
      </w:pPr>
      <w:bookmarkStart w:id="0" w:name="_GoBack"/>
      <w:bookmarkEnd w:id="0"/>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（银行金融服务</w:t>
      </w:r>
      <w:r>
        <w:rPr>
          <w:rFonts w:hint="eastAsia" w:asciiTheme="minorEastAsia" w:hAnsiTheme="minorEastAsia" w:eastAsiaTheme="minorEastAsia"/>
          <w:b/>
          <w:sz w:val="28"/>
          <w:szCs w:val="28"/>
          <w:lang w:val="en-US" w:eastAsia="zh-CN"/>
        </w:rPr>
        <w:t>业</w:t>
      </w:r>
      <w:r>
        <w:rPr>
          <w:rFonts w:hint="eastAsia" w:asciiTheme="minorEastAsia" w:hAnsiTheme="minorEastAsia" w:eastAsiaTheme="minorEastAsia"/>
          <w:b/>
          <w:sz w:val="28"/>
          <w:szCs w:val="28"/>
        </w:rPr>
        <w:t>）</w:t>
      </w:r>
    </w:p>
    <w:tbl>
      <w:tblPr>
        <w:tblStyle w:val="6"/>
        <w:tblW w:w="8892" w:type="dxa"/>
        <w:tblInd w:w="-34" w:type="dxa"/>
        <w:tblLayout w:type="fixed"/>
        <w:tblCellMar>
          <w:top w:w="0" w:type="dxa"/>
          <w:left w:w="108" w:type="dxa"/>
          <w:bottom w:w="0" w:type="dxa"/>
          <w:right w:w="108" w:type="dxa"/>
        </w:tblCellMar>
      </w:tblPr>
      <w:tblGrid>
        <w:gridCol w:w="8892"/>
      </w:tblGrid>
      <w:tr>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bCs/>
          <w:szCs w:val="21"/>
        </w:rPr>
        <w:t>B01.在下列各项领域中，请用1-10分为给各项目领域的数字化程度进行打分。（1分：数字化程度最低；10分：数字化程度最高）</w:t>
      </w:r>
    </w:p>
    <w:tbl>
      <w:tblPr>
        <w:tblStyle w:val="6"/>
        <w:tblW w:w="8336"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Layout w:type="fixed"/>
        <w:tblCellMar>
          <w:top w:w="0" w:type="dxa"/>
          <w:left w:w="0" w:type="dxa"/>
          <w:bottom w:w="0" w:type="dxa"/>
          <w:right w:w="0" w:type="dxa"/>
        </w:tblCellMar>
      </w:tblPr>
      <w:tblGrid>
        <w:gridCol w:w="4847"/>
        <w:gridCol w:w="348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8336" w:type="dxa"/>
            <w:gridSpan w:val="2"/>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050501 银行金融服务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4847"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项目</w:t>
            </w:r>
          </w:p>
        </w:tc>
        <w:tc>
          <w:tcPr>
            <w:tcW w:w="3489"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pPr>
            <w:r>
              <w:rPr>
                <w:rFonts w:hint="eastAsia" w:ascii="等线" w:hAnsi="等线" w:eastAsia="等线" w:cs="等线"/>
                <w:b/>
                <w:i w:val="0"/>
                <w:color w:val="000000"/>
                <w:kern w:val="0"/>
                <w:sz w:val="22"/>
                <w:szCs w:val="22"/>
                <w:u w:val="none"/>
                <w:lang w:val="en-US" w:eastAsia="zh-CN" w:bidi="ar"/>
              </w:rPr>
              <w:t>数字化程度（1-10分）</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4847"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中央银行服务</w:t>
            </w:r>
          </w:p>
        </w:tc>
        <w:tc>
          <w:tcPr>
            <w:tcW w:w="3489" w:type="dxa"/>
            <w:tcBorders>
              <w:tl2br w:val="nil"/>
              <w:tr2bl w:val="nil"/>
            </w:tcBorders>
            <w:shd w:val="clear" w:color="auto" w:fill="auto"/>
            <w:noWrap/>
            <w:tcMar>
              <w:top w:w="15" w:type="dxa"/>
              <w:left w:w="15" w:type="dxa"/>
              <w:right w:w="15" w:type="dxa"/>
            </w:tcMar>
            <w:vAlign w:val="bottom"/>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4847"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i w:val="0"/>
                <w:color w:val="000000"/>
                <w:kern w:val="0"/>
                <w:sz w:val="22"/>
                <w:szCs w:val="22"/>
                <w:u w:val="none"/>
                <w:lang w:val="en-US" w:eastAsia="zh-CN" w:bidi="ar"/>
              </w:rPr>
              <w:t>货币银行服务</w:t>
            </w:r>
          </w:p>
        </w:tc>
        <w:tc>
          <w:tcPr>
            <w:tcW w:w="3489" w:type="dxa"/>
            <w:tcBorders>
              <w:tl2br w:val="nil"/>
              <w:tr2bl w:val="nil"/>
            </w:tcBorders>
            <w:shd w:val="clear" w:color="auto" w:fill="auto"/>
            <w:noWrap/>
            <w:tcMar>
              <w:top w:w="15" w:type="dxa"/>
              <w:left w:w="15" w:type="dxa"/>
              <w:right w:w="15" w:type="dxa"/>
            </w:tcMar>
            <w:vAlign w:val="bottom"/>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4847" w:type="dxa"/>
            <w:tcBorders>
              <w:tl2br w:val="nil"/>
              <w:tr2bl w:val="nil"/>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等线" w:hAnsi="等线" w:eastAsia="等线" w:cs="等线"/>
                <w:i w:val="0"/>
                <w:color w:val="000000"/>
                <w:kern w:val="0"/>
                <w:sz w:val="22"/>
                <w:szCs w:val="22"/>
                <w:u w:val="none"/>
                <w:lang w:val="en-US" w:eastAsia="zh-CN" w:bidi="ar"/>
              </w:rPr>
            </w:pPr>
            <w:r>
              <w:rPr>
                <w:rFonts w:hint="eastAsia" w:ascii="等线" w:hAnsi="等线" w:eastAsia="等线" w:cs="等线"/>
                <w:i w:val="0"/>
                <w:color w:val="000000"/>
                <w:kern w:val="0"/>
                <w:sz w:val="22"/>
                <w:szCs w:val="22"/>
                <w:u w:val="none"/>
                <w:lang w:val="en-US" w:eastAsia="zh-CN" w:bidi="ar"/>
              </w:rPr>
              <w:t>非货币银行服务</w:t>
            </w:r>
          </w:p>
        </w:tc>
        <w:tc>
          <w:tcPr>
            <w:tcW w:w="3489" w:type="dxa"/>
            <w:tcBorders>
              <w:tl2br w:val="nil"/>
              <w:tr2bl w:val="nil"/>
            </w:tcBorders>
            <w:shd w:val="clear" w:color="auto" w:fill="auto"/>
            <w:noWrap/>
            <w:tcMar>
              <w:top w:w="15" w:type="dxa"/>
              <w:left w:w="15" w:type="dxa"/>
              <w:right w:w="15" w:type="dxa"/>
            </w:tcMar>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4847"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kern w:val="0"/>
                <w:sz w:val="22"/>
                <w:szCs w:val="22"/>
                <w:u w:val="none"/>
                <w:lang w:val="en-US" w:eastAsia="zh-CN" w:bidi="ar"/>
              </w:rPr>
            </w:pPr>
            <w:r>
              <w:rPr>
                <w:rFonts w:hint="eastAsia" w:ascii="等线" w:hAnsi="等线" w:eastAsia="等线" w:cs="等线"/>
                <w:i w:val="0"/>
                <w:color w:val="000000"/>
                <w:kern w:val="0"/>
                <w:sz w:val="22"/>
                <w:szCs w:val="22"/>
                <w:u w:val="none"/>
                <w:lang w:val="en-US" w:eastAsia="zh-CN" w:bidi="ar"/>
              </w:rPr>
              <w:t>银行理财服务</w:t>
            </w:r>
          </w:p>
        </w:tc>
        <w:tc>
          <w:tcPr>
            <w:tcW w:w="3489" w:type="dxa"/>
            <w:tcBorders>
              <w:tl2br w:val="nil"/>
              <w:tr2bl w:val="nil"/>
            </w:tcBorders>
            <w:shd w:val="clear" w:color="auto" w:fill="auto"/>
            <w:noWrap/>
            <w:tcMar>
              <w:top w:w="15" w:type="dxa"/>
              <w:left w:w="15" w:type="dxa"/>
              <w:right w:w="15" w:type="dxa"/>
            </w:tcMar>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4847"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kern w:val="0"/>
                <w:sz w:val="22"/>
                <w:szCs w:val="22"/>
                <w:u w:val="none"/>
                <w:lang w:val="en-US" w:eastAsia="zh-CN" w:bidi="ar"/>
              </w:rPr>
            </w:pPr>
            <w:r>
              <w:rPr>
                <w:rFonts w:hint="eastAsia" w:ascii="等线" w:hAnsi="等线" w:eastAsia="等线" w:cs="等线"/>
                <w:i w:val="0"/>
                <w:color w:val="000000"/>
                <w:kern w:val="0"/>
                <w:sz w:val="22"/>
                <w:szCs w:val="22"/>
                <w:u w:val="none"/>
                <w:lang w:val="en-US" w:eastAsia="zh-CN" w:bidi="ar"/>
              </w:rPr>
              <w:t>银行监管服务</w:t>
            </w:r>
          </w:p>
        </w:tc>
        <w:tc>
          <w:tcPr>
            <w:tcW w:w="3489" w:type="dxa"/>
            <w:tcBorders>
              <w:tl2br w:val="nil"/>
              <w:tr2bl w:val="nil"/>
            </w:tcBorders>
            <w:shd w:val="clear" w:color="auto" w:fill="auto"/>
            <w:noWrap/>
            <w:tcMar>
              <w:top w:w="15" w:type="dxa"/>
              <w:left w:w="15" w:type="dxa"/>
              <w:right w:w="15" w:type="dxa"/>
            </w:tcMar>
            <w:vAlign w:val="center"/>
          </w:tcPr>
          <w:p/>
        </w:tc>
      </w:tr>
    </w:tbl>
    <w:p>
      <w:pPr>
        <w:autoSpaceDE w:val="0"/>
        <w:autoSpaceDN w:val="0"/>
        <w:adjustRightInd w:val="0"/>
        <w:spacing w:line="360" w:lineRule="auto"/>
        <w:ind w:right="-92" w:rightChars="-44"/>
        <w:outlineLvl w:val="0"/>
        <w:rPr>
          <w:rFonts w:hint="eastAsia" w:ascii="宋体" w:hAnsi="宋体" w:cs="楷体_GB2312"/>
          <w:b w:val="0"/>
          <w:bCs w:val="0"/>
          <w:szCs w:val="21"/>
        </w:rPr>
      </w:pPr>
      <w:r>
        <w:rPr>
          <w:rFonts w:hint="eastAsia" w:ascii="宋体" w:hAnsi="宋体" w:cs="楷体_GB2312"/>
          <w:b w:val="0"/>
          <w:bCs w:val="0"/>
          <w:szCs w:val="21"/>
        </w:rPr>
        <w:t>注：不包括典当和网络借贷服务</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rPr>
        <w:t>2019年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u w:val="single"/>
          <w:lang w:val="en-US" w:eastAsia="zh-CN"/>
        </w:rPr>
        <w:t xml:space="preserve">     </w:t>
      </w:r>
      <w:r>
        <w:rPr>
          <w:rFonts w:hint="eastAsia" w:ascii="宋体" w:hAnsi="宋体" w:cs="楷体_GB2312"/>
          <w:b/>
          <w:szCs w:val="21"/>
          <w:u w:val="single"/>
        </w:rPr>
        <w:t xml:space="preserve">    </w:t>
      </w:r>
      <w:r>
        <w:rPr>
          <w:rFonts w:hint="eastAsia" w:ascii="宋体" w:hAnsi="宋体" w:cs="楷体_GB2312"/>
          <w:b/>
          <w:szCs w:val="21"/>
        </w:rPr>
        <w:t>万元，2018年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blPrEx>
          <w:tblCellMar>
            <w:top w:w="0" w:type="dxa"/>
            <w:left w:w="108" w:type="dxa"/>
            <w:bottom w:w="0" w:type="dxa"/>
            <w:right w:w="108" w:type="dxa"/>
          </w:tblCellMar>
        </w:tblPrEx>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blPrEx>
          <w:tblCellMar>
            <w:top w:w="0" w:type="dxa"/>
            <w:left w:w="108" w:type="dxa"/>
            <w:bottom w:w="0" w:type="dxa"/>
            <w:right w:w="108" w:type="dxa"/>
          </w:tblCellMar>
        </w:tblPrEx>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blPrEx>
          <w:tblCellMar>
            <w:top w:w="0" w:type="dxa"/>
            <w:left w:w="108" w:type="dxa"/>
            <w:bottom w:w="0" w:type="dxa"/>
            <w:right w:w="108" w:type="dxa"/>
          </w:tblCellMar>
        </w:tblPrEx>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blPrEx>
          <w:tblCellMar>
            <w:top w:w="0" w:type="dxa"/>
            <w:left w:w="108" w:type="dxa"/>
            <w:bottom w:w="0" w:type="dxa"/>
            <w:right w:w="108" w:type="dxa"/>
          </w:tblCellMar>
        </w:tblPrEx>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autoSpaceDE w:val="0"/>
        <w:autoSpaceDN w:val="0"/>
        <w:adjustRightInd w:val="0"/>
        <w:spacing w:line="360" w:lineRule="auto"/>
        <w:rPr>
          <w:rFonts w:ascii="宋体" w:hAnsi="宋体" w:cs="楷体_GB2312"/>
          <w:b/>
          <w:szCs w:val="21"/>
        </w:rPr>
      </w:pP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340" w:lineRule="exact"/>
        <w:ind w:left="360" w:hanging="360"/>
        <w:jc w:val="center"/>
        <w:rPr>
          <w:rFonts w:ascii="Times New Roman" w:hAnsi="Times New Roman"/>
          <w:b/>
          <w:bCs/>
          <w:sz w:val="24"/>
          <w:szCs w:val="28"/>
        </w:rPr>
      </w:pPr>
      <w:r>
        <w:rPr>
          <w:rFonts w:ascii="Times New Roman" w:hAnsi="Times New Roman"/>
          <w:b/>
          <w:bCs/>
          <w:sz w:val="24"/>
          <w:szCs w:val="28"/>
        </w:rPr>
        <w:t>问卷填写说明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Times New Roman" w:hAnsi="Times New Roman"/>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97E06"/>
    <w:rsid w:val="000E7773"/>
    <w:rsid w:val="00172A27"/>
    <w:rsid w:val="002222B3"/>
    <w:rsid w:val="0029049A"/>
    <w:rsid w:val="00641FF9"/>
    <w:rsid w:val="00657D96"/>
    <w:rsid w:val="00A33325"/>
    <w:rsid w:val="00A554CC"/>
    <w:rsid w:val="00AF796F"/>
    <w:rsid w:val="00B53596"/>
    <w:rsid w:val="00B95CDD"/>
    <w:rsid w:val="00C3198C"/>
    <w:rsid w:val="00CB3ED9"/>
    <w:rsid w:val="00D10445"/>
    <w:rsid w:val="00E21F4D"/>
    <w:rsid w:val="00E34AB7"/>
    <w:rsid w:val="00EF1762"/>
    <w:rsid w:val="00F32597"/>
    <w:rsid w:val="024A7E06"/>
    <w:rsid w:val="04B04B25"/>
    <w:rsid w:val="04CA1826"/>
    <w:rsid w:val="05E27DB0"/>
    <w:rsid w:val="068E7BB4"/>
    <w:rsid w:val="071F2A9A"/>
    <w:rsid w:val="088C4419"/>
    <w:rsid w:val="0A546CFD"/>
    <w:rsid w:val="0AD856EB"/>
    <w:rsid w:val="0B485A8F"/>
    <w:rsid w:val="0BA01B25"/>
    <w:rsid w:val="0C090176"/>
    <w:rsid w:val="0CD245C2"/>
    <w:rsid w:val="0D097A76"/>
    <w:rsid w:val="0D143C90"/>
    <w:rsid w:val="0DD15B5E"/>
    <w:rsid w:val="0E4D0AA4"/>
    <w:rsid w:val="0EC56247"/>
    <w:rsid w:val="102E502B"/>
    <w:rsid w:val="108C21E9"/>
    <w:rsid w:val="110E66BB"/>
    <w:rsid w:val="119B451B"/>
    <w:rsid w:val="12060A13"/>
    <w:rsid w:val="12891287"/>
    <w:rsid w:val="13AE72DD"/>
    <w:rsid w:val="13F41449"/>
    <w:rsid w:val="14100C5B"/>
    <w:rsid w:val="149A6D75"/>
    <w:rsid w:val="14A151DC"/>
    <w:rsid w:val="14BA0E4B"/>
    <w:rsid w:val="14C05230"/>
    <w:rsid w:val="16F07B27"/>
    <w:rsid w:val="177E0528"/>
    <w:rsid w:val="197E2978"/>
    <w:rsid w:val="1B443D5F"/>
    <w:rsid w:val="1D0E1A2C"/>
    <w:rsid w:val="1D65575F"/>
    <w:rsid w:val="1D8C1327"/>
    <w:rsid w:val="1E1E4D4A"/>
    <w:rsid w:val="1E3B46EE"/>
    <w:rsid w:val="20194BD7"/>
    <w:rsid w:val="20EE4AE9"/>
    <w:rsid w:val="220D7826"/>
    <w:rsid w:val="23D56B05"/>
    <w:rsid w:val="242A0B1C"/>
    <w:rsid w:val="25E25207"/>
    <w:rsid w:val="266A525F"/>
    <w:rsid w:val="281112E7"/>
    <w:rsid w:val="2BA61D16"/>
    <w:rsid w:val="2EF03F29"/>
    <w:rsid w:val="2F1E127D"/>
    <w:rsid w:val="30261F20"/>
    <w:rsid w:val="307526B9"/>
    <w:rsid w:val="30F77024"/>
    <w:rsid w:val="32E135A4"/>
    <w:rsid w:val="338404AF"/>
    <w:rsid w:val="34402DBA"/>
    <w:rsid w:val="346E07AA"/>
    <w:rsid w:val="350823B3"/>
    <w:rsid w:val="35E776CE"/>
    <w:rsid w:val="379723B9"/>
    <w:rsid w:val="381E70F7"/>
    <w:rsid w:val="38C65B21"/>
    <w:rsid w:val="390E59D6"/>
    <w:rsid w:val="3C462FF9"/>
    <w:rsid w:val="3CDD5108"/>
    <w:rsid w:val="3D2C307D"/>
    <w:rsid w:val="3D601B78"/>
    <w:rsid w:val="3EE45549"/>
    <w:rsid w:val="4115533F"/>
    <w:rsid w:val="41CC3117"/>
    <w:rsid w:val="424E55AD"/>
    <w:rsid w:val="449C6303"/>
    <w:rsid w:val="45341F69"/>
    <w:rsid w:val="45AA19F3"/>
    <w:rsid w:val="46524DCF"/>
    <w:rsid w:val="466A54A3"/>
    <w:rsid w:val="478D5F73"/>
    <w:rsid w:val="47BA3CB2"/>
    <w:rsid w:val="47D77D01"/>
    <w:rsid w:val="480D7DAB"/>
    <w:rsid w:val="489263E3"/>
    <w:rsid w:val="49EE6351"/>
    <w:rsid w:val="4B11264F"/>
    <w:rsid w:val="4C4216B2"/>
    <w:rsid w:val="4DAB040A"/>
    <w:rsid w:val="4E9D52C4"/>
    <w:rsid w:val="4F6900D3"/>
    <w:rsid w:val="500A107C"/>
    <w:rsid w:val="50C6484F"/>
    <w:rsid w:val="526E5EDB"/>
    <w:rsid w:val="546863E0"/>
    <w:rsid w:val="57685ED0"/>
    <w:rsid w:val="576D24F2"/>
    <w:rsid w:val="58847932"/>
    <w:rsid w:val="588E3766"/>
    <w:rsid w:val="58B37D9A"/>
    <w:rsid w:val="59211C7A"/>
    <w:rsid w:val="595B52AA"/>
    <w:rsid w:val="59BB0D99"/>
    <w:rsid w:val="5DD92B4C"/>
    <w:rsid w:val="5DE70E70"/>
    <w:rsid w:val="5E571AB8"/>
    <w:rsid w:val="5E6C05FE"/>
    <w:rsid w:val="5E7128C8"/>
    <w:rsid w:val="5F2B333C"/>
    <w:rsid w:val="5FA71CBD"/>
    <w:rsid w:val="60352F98"/>
    <w:rsid w:val="63354B42"/>
    <w:rsid w:val="63F75B73"/>
    <w:rsid w:val="64772CCE"/>
    <w:rsid w:val="661B18A1"/>
    <w:rsid w:val="66BE361D"/>
    <w:rsid w:val="66ED2917"/>
    <w:rsid w:val="68153E56"/>
    <w:rsid w:val="685B2F1D"/>
    <w:rsid w:val="69B153EE"/>
    <w:rsid w:val="69CB43B5"/>
    <w:rsid w:val="6A260B2B"/>
    <w:rsid w:val="6A4C2E44"/>
    <w:rsid w:val="6A7C433A"/>
    <w:rsid w:val="6ABD1F8E"/>
    <w:rsid w:val="6B714110"/>
    <w:rsid w:val="6BBF2686"/>
    <w:rsid w:val="6CF30226"/>
    <w:rsid w:val="6EBD7F60"/>
    <w:rsid w:val="70194B6E"/>
    <w:rsid w:val="70912956"/>
    <w:rsid w:val="71FA0158"/>
    <w:rsid w:val="735F68D1"/>
    <w:rsid w:val="73A601F0"/>
    <w:rsid w:val="75781DB9"/>
    <w:rsid w:val="75CD3BF1"/>
    <w:rsid w:val="798242AB"/>
    <w:rsid w:val="79B65898"/>
    <w:rsid w:val="7A656CA0"/>
    <w:rsid w:val="7AA716F4"/>
    <w:rsid w:val="7AB72EFF"/>
    <w:rsid w:val="7B024779"/>
    <w:rsid w:val="7B960AC0"/>
    <w:rsid w:val="7D6449CB"/>
    <w:rsid w:val="7E3D68A5"/>
    <w:rsid w:val="7EB27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0</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2021-12-10T03:20:22Z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